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E9" w:rsidRDefault="00795D15">
      <w:pPr>
        <w:pStyle w:val="Textbody"/>
        <w:widowControl/>
        <w:rPr>
          <w:color w:val="222222"/>
        </w:rPr>
      </w:pPr>
      <w:r>
        <w:rPr>
          <w:color w:val="222222"/>
        </w:rPr>
        <w:t>Załącznik nr 4</w:t>
      </w:r>
    </w:p>
    <w:p w:rsidR="001C17E9" w:rsidRDefault="001C17E9">
      <w:pPr>
        <w:pStyle w:val="Textbody"/>
        <w:widowControl/>
      </w:pPr>
    </w:p>
    <w:p w:rsidR="001C17E9" w:rsidRDefault="00795D15">
      <w:pPr>
        <w:pStyle w:val="Textbody"/>
        <w:widowControl/>
        <w:rPr>
          <w:b/>
          <w:color w:val="222222"/>
          <w:sz w:val="22"/>
        </w:rPr>
      </w:pPr>
      <w:r>
        <w:rPr>
          <w:b/>
          <w:color w:val="222222"/>
          <w:sz w:val="22"/>
        </w:rPr>
        <w:t>SZCZEGÓŁOWY OPIS PRZEDMIOTU ZAMÓWIENIA</w:t>
      </w:r>
    </w:p>
    <w:p w:rsidR="001C17E9" w:rsidRDefault="001C17E9">
      <w:pPr>
        <w:pStyle w:val="Textbody"/>
        <w:widowControl/>
      </w:pPr>
    </w:p>
    <w:p w:rsidR="001C17E9" w:rsidRDefault="00795D15">
      <w:pPr>
        <w:pStyle w:val="Textbody"/>
        <w:widowControl/>
        <w:rPr>
          <w:color w:val="222222"/>
          <w:sz w:val="18"/>
        </w:rPr>
      </w:pPr>
      <w:r>
        <w:rPr>
          <w:color w:val="222222"/>
          <w:sz w:val="18"/>
        </w:rPr>
        <w:t>Przedmiotem zamówienia jest:</w:t>
      </w:r>
    </w:p>
    <w:p w:rsidR="001C17E9" w:rsidRDefault="00795D15">
      <w:pPr>
        <w:pStyle w:val="Textbody"/>
        <w:widowControl/>
        <w:numPr>
          <w:ilvl w:val="0"/>
          <w:numId w:val="1"/>
        </w:numPr>
        <w:spacing w:before="74" w:after="0" w:line="240" w:lineRule="atLeast"/>
        <w:ind w:left="225"/>
        <w:rPr>
          <w:color w:val="222222"/>
        </w:rPr>
      </w:pPr>
      <w:r>
        <w:rPr>
          <w:color w:val="000000"/>
          <w:spacing w:val="4"/>
          <w:sz w:val="18"/>
        </w:rPr>
        <w:t>Ubezpieczenie odpowiedzialności cywilnej </w:t>
      </w:r>
      <w:r>
        <w:rPr>
          <w:color w:val="000000"/>
          <w:spacing w:val="2"/>
          <w:sz w:val="18"/>
        </w:rPr>
        <w:t>posiadaczy pojazdów mechanicznych</w:t>
      </w:r>
    </w:p>
    <w:p w:rsidR="001C17E9" w:rsidRDefault="00795D15">
      <w:pPr>
        <w:pStyle w:val="Textbody"/>
        <w:widowControl/>
        <w:numPr>
          <w:ilvl w:val="0"/>
          <w:numId w:val="1"/>
        </w:numPr>
        <w:spacing w:after="0" w:line="195" w:lineRule="atLeast"/>
        <w:ind w:left="225"/>
        <w:rPr>
          <w:color w:val="222222"/>
          <w:spacing w:val="4"/>
          <w:sz w:val="18"/>
        </w:rPr>
      </w:pPr>
      <w:r>
        <w:rPr>
          <w:color w:val="222222"/>
          <w:spacing w:val="4"/>
          <w:sz w:val="18"/>
        </w:rPr>
        <w:t>Ubezpieczenie Autocasco</w:t>
      </w:r>
    </w:p>
    <w:p w:rsidR="001C17E9" w:rsidRDefault="00795D15">
      <w:pPr>
        <w:pStyle w:val="Textbody"/>
        <w:widowControl/>
        <w:numPr>
          <w:ilvl w:val="0"/>
          <w:numId w:val="1"/>
        </w:numPr>
        <w:spacing w:before="34" w:after="0" w:line="195" w:lineRule="atLeast"/>
        <w:ind w:left="225"/>
        <w:rPr>
          <w:color w:val="222222"/>
          <w:spacing w:val="6"/>
          <w:sz w:val="18"/>
        </w:rPr>
      </w:pPr>
      <w:r>
        <w:rPr>
          <w:color w:val="222222"/>
          <w:spacing w:val="6"/>
          <w:sz w:val="18"/>
        </w:rPr>
        <w:t>Ubezpieczenie Następstw Nieszczęśliwych Wypadków</w:t>
      </w:r>
    </w:p>
    <w:p w:rsidR="001C17E9" w:rsidRDefault="00795D15">
      <w:pPr>
        <w:pStyle w:val="Textbody"/>
        <w:widowControl/>
        <w:numPr>
          <w:ilvl w:val="0"/>
          <w:numId w:val="1"/>
        </w:numPr>
        <w:spacing w:before="34" w:after="0" w:line="195" w:lineRule="atLeast"/>
        <w:ind w:left="225"/>
        <w:rPr>
          <w:color w:val="222222"/>
          <w:spacing w:val="6"/>
          <w:sz w:val="18"/>
        </w:rPr>
      </w:pPr>
      <w:r>
        <w:rPr>
          <w:color w:val="222222"/>
          <w:spacing w:val="6"/>
          <w:sz w:val="18"/>
        </w:rPr>
        <w:t>Ubezpieczenie Assisatnce</w:t>
      </w:r>
    </w:p>
    <w:p w:rsidR="001C17E9" w:rsidRDefault="00795D15">
      <w:pPr>
        <w:pStyle w:val="Textbody"/>
        <w:widowControl/>
        <w:numPr>
          <w:ilvl w:val="0"/>
          <w:numId w:val="1"/>
        </w:numPr>
        <w:spacing w:before="34" w:after="0" w:line="195" w:lineRule="atLeast"/>
        <w:ind w:left="225"/>
        <w:rPr>
          <w:color w:val="222222"/>
          <w:spacing w:val="6"/>
          <w:sz w:val="18"/>
        </w:rPr>
      </w:pPr>
      <w:r>
        <w:rPr>
          <w:color w:val="222222"/>
          <w:spacing w:val="6"/>
          <w:sz w:val="18"/>
        </w:rPr>
        <w:t>Ubezpieczenie szyby</w:t>
      </w:r>
    </w:p>
    <w:p w:rsidR="001C17E9" w:rsidRDefault="001C17E9">
      <w:pPr>
        <w:pStyle w:val="Textbody"/>
        <w:widowControl/>
      </w:pPr>
    </w:p>
    <w:p w:rsidR="001C17E9" w:rsidRDefault="00795D15">
      <w:pPr>
        <w:pStyle w:val="Textbody"/>
        <w:widowControl/>
        <w:rPr>
          <w:color w:val="222222"/>
        </w:rPr>
      </w:pPr>
      <w:r>
        <w:rPr>
          <w:b/>
          <w:color w:val="000000"/>
          <w:sz w:val="18"/>
        </w:rPr>
        <w:t>Ubezpieczenie odpowiedzialności cywilnej posiadaczy pojazdów mechanicznych (OC)</w:t>
      </w:r>
      <w:r>
        <w:rPr>
          <w:color w:val="000000"/>
        </w:rPr>
        <w:t> </w:t>
      </w:r>
      <w:r>
        <w:rPr>
          <w:color w:val="000000"/>
          <w:sz w:val="18"/>
        </w:rPr>
        <w:t xml:space="preserve">zgodnie z aktualnie obowiązującymi w tym zakresie przepisami prawa tj Ustawa z </w:t>
      </w:r>
      <w:r>
        <w:rPr>
          <w:color w:val="000000"/>
          <w:sz w:val="18"/>
        </w:rPr>
        <w:t>dnia 22 maja 2003r. o ubezpieczeniach obowiązkowych, Ubezpieczeniowym Funduszu Gwarancyjnym i Polskim Biurze Ubezpieczycieli Komunikacyjnych</w:t>
      </w:r>
    </w:p>
    <w:p w:rsidR="001C17E9" w:rsidRDefault="00795D15">
      <w:pPr>
        <w:pStyle w:val="Textbody"/>
        <w:widowControl/>
        <w:rPr>
          <w:b/>
          <w:color w:val="222222"/>
          <w:sz w:val="18"/>
        </w:rPr>
      </w:pPr>
      <w:r>
        <w:rPr>
          <w:b/>
          <w:color w:val="222222"/>
          <w:sz w:val="18"/>
        </w:rPr>
        <w:t>Ubezpieczenie autocasco (AC) w zakresie all risk,</w:t>
      </w:r>
    </w:p>
    <w:p w:rsidR="001C17E9" w:rsidRDefault="00795D15">
      <w:pPr>
        <w:pStyle w:val="Textbody"/>
        <w:widowControl/>
        <w:rPr>
          <w:color w:val="222222"/>
          <w:sz w:val="18"/>
        </w:rPr>
      </w:pPr>
      <w:r>
        <w:rPr>
          <w:color w:val="222222"/>
          <w:sz w:val="18"/>
        </w:rPr>
        <w:t>Dodatkowe wymogi dotyczące ubezpieczenia autocasco (AC)</w:t>
      </w:r>
    </w:p>
    <w:p w:rsidR="001C17E9" w:rsidRDefault="00795D15">
      <w:pPr>
        <w:pStyle w:val="Textbody"/>
        <w:widowControl/>
        <w:rPr>
          <w:color w:val="222222"/>
          <w:sz w:val="18"/>
        </w:rPr>
      </w:pPr>
      <w:r>
        <w:rPr>
          <w:color w:val="222222"/>
          <w:sz w:val="18"/>
        </w:rPr>
        <w:t>- odstąpi</w:t>
      </w:r>
      <w:r>
        <w:rPr>
          <w:color w:val="222222"/>
          <w:sz w:val="18"/>
        </w:rPr>
        <w:t>enie od redukcji (konsumpcji) sumy ubezpieczenia w związku z wypłatami odszkodowania</w:t>
      </w:r>
    </w:p>
    <w:p w:rsidR="001C17E9" w:rsidRDefault="00795D15">
      <w:pPr>
        <w:pStyle w:val="Textbody"/>
        <w:widowControl/>
        <w:rPr>
          <w:color w:val="222222"/>
          <w:sz w:val="18"/>
        </w:rPr>
      </w:pPr>
      <w:r>
        <w:rPr>
          <w:color w:val="222222"/>
          <w:sz w:val="18"/>
        </w:rPr>
        <w:t>- brak potrąceń z tytułu amortyzacji części – wariant serwisowy</w:t>
      </w:r>
    </w:p>
    <w:p w:rsidR="001C17E9" w:rsidRDefault="00795D15">
      <w:pPr>
        <w:pStyle w:val="Textbody"/>
        <w:widowControl/>
        <w:rPr>
          <w:color w:val="222222"/>
          <w:sz w:val="18"/>
        </w:rPr>
      </w:pPr>
      <w:r>
        <w:rPr>
          <w:color w:val="222222"/>
          <w:sz w:val="18"/>
        </w:rPr>
        <w:t>- stała suma ubezpieczenia w ciągu trwania umowy ubezpieczenia</w:t>
      </w:r>
    </w:p>
    <w:p w:rsidR="001C17E9" w:rsidRDefault="00795D15">
      <w:pPr>
        <w:pStyle w:val="Textbody"/>
        <w:widowControl/>
        <w:rPr>
          <w:color w:val="222222"/>
          <w:sz w:val="18"/>
        </w:rPr>
      </w:pPr>
      <w:r>
        <w:rPr>
          <w:color w:val="222222"/>
          <w:sz w:val="18"/>
        </w:rPr>
        <w:t>- franszyza integralna nie wyższa niż 300 zł</w:t>
      </w:r>
      <w:r>
        <w:rPr>
          <w:color w:val="222222"/>
          <w:sz w:val="18"/>
        </w:rPr>
        <w:t xml:space="preserve"> ,brak innych franszyz oraz udziałów własnych</w:t>
      </w:r>
    </w:p>
    <w:p w:rsidR="001C17E9" w:rsidRDefault="00795D15">
      <w:pPr>
        <w:pStyle w:val="Textbody"/>
        <w:widowControl/>
        <w:rPr>
          <w:color w:val="222222"/>
        </w:rPr>
      </w:pPr>
      <w:r>
        <w:rPr>
          <w:color w:val="000000"/>
          <w:sz w:val="18"/>
        </w:rPr>
        <w:t>- </w:t>
      </w:r>
      <w:r>
        <w:rPr>
          <w:color w:val="000000"/>
          <w:sz w:val="20"/>
        </w:rPr>
        <w:t>rozszerzenie zakresu o klauzulę kosztów dodatkowych tj holowanie, parking</w:t>
      </w:r>
    </w:p>
    <w:p w:rsidR="001C17E9" w:rsidRDefault="00795D15">
      <w:pPr>
        <w:pStyle w:val="Textbody"/>
        <w:widowControl/>
        <w:rPr>
          <w:b/>
          <w:color w:val="222222"/>
          <w:sz w:val="18"/>
        </w:rPr>
      </w:pPr>
      <w:r>
        <w:rPr>
          <w:b/>
          <w:color w:val="222222"/>
          <w:sz w:val="18"/>
        </w:rPr>
        <w:t>Ubezpieczenia następstw nieszczęśliwych wypadków kierowcy i pasażerów (NNW)</w:t>
      </w:r>
    </w:p>
    <w:p w:rsidR="001C17E9" w:rsidRDefault="00795D15">
      <w:pPr>
        <w:pStyle w:val="Textbody"/>
        <w:widowControl/>
        <w:rPr>
          <w:color w:val="222222"/>
          <w:sz w:val="18"/>
        </w:rPr>
      </w:pPr>
      <w:r>
        <w:rPr>
          <w:color w:val="222222"/>
          <w:sz w:val="18"/>
        </w:rPr>
        <w:t>- suma ubezpieczenia 10.000 zł</w:t>
      </w:r>
    </w:p>
    <w:p w:rsidR="001C17E9" w:rsidRDefault="00795D15">
      <w:pPr>
        <w:pStyle w:val="Textbody"/>
        <w:widowControl/>
        <w:rPr>
          <w:b/>
          <w:color w:val="222222"/>
          <w:sz w:val="18"/>
        </w:rPr>
      </w:pPr>
      <w:r>
        <w:rPr>
          <w:b/>
          <w:color w:val="222222"/>
          <w:sz w:val="18"/>
        </w:rPr>
        <w:t>Ubezpieczenie szyb</w:t>
      </w:r>
    </w:p>
    <w:p w:rsidR="001C17E9" w:rsidRDefault="00795D15">
      <w:pPr>
        <w:pStyle w:val="Textbody"/>
        <w:widowControl/>
        <w:rPr>
          <w:color w:val="222222"/>
          <w:sz w:val="18"/>
        </w:rPr>
      </w:pPr>
      <w:r>
        <w:rPr>
          <w:color w:val="222222"/>
          <w:sz w:val="18"/>
        </w:rPr>
        <w:t>- suma u</w:t>
      </w:r>
      <w:r>
        <w:rPr>
          <w:color w:val="222222"/>
          <w:sz w:val="18"/>
        </w:rPr>
        <w:t>bezpieczenia minimum 3.000 zł na jeden pojazd</w:t>
      </w:r>
    </w:p>
    <w:p w:rsidR="001C17E9" w:rsidRDefault="00795D15">
      <w:pPr>
        <w:pStyle w:val="Textbody"/>
        <w:widowControl/>
        <w:rPr>
          <w:b/>
          <w:color w:val="222222"/>
          <w:sz w:val="18"/>
        </w:rPr>
      </w:pPr>
      <w:r>
        <w:rPr>
          <w:b/>
          <w:color w:val="222222"/>
          <w:sz w:val="18"/>
        </w:rPr>
        <w:t>Ubezpieczenie Assistance</w:t>
      </w:r>
    </w:p>
    <w:p w:rsidR="001C17E9" w:rsidRDefault="00795D15">
      <w:pPr>
        <w:pStyle w:val="Textbody"/>
        <w:widowControl/>
        <w:rPr>
          <w:color w:val="222222"/>
        </w:rPr>
      </w:pPr>
      <w:r>
        <w:rPr>
          <w:color w:val="000000"/>
          <w:sz w:val="18"/>
        </w:rPr>
        <w:t>- zakres ubezpieczenia dla pojazdów osobowych oraz ciężarowych </w:t>
      </w:r>
      <w:r>
        <w:rPr>
          <w:b/>
          <w:color w:val="FF0066"/>
          <w:sz w:val="18"/>
        </w:rPr>
        <w:t>/ holowanie na terenie RP/</w:t>
      </w:r>
    </w:p>
    <w:p w:rsidR="001C17E9" w:rsidRDefault="001C17E9">
      <w:pPr>
        <w:pStyle w:val="Textbody"/>
        <w:widowControl/>
      </w:pPr>
    </w:p>
    <w:p w:rsidR="001C17E9" w:rsidRDefault="00795D15">
      <w:pPr>
        <w:pStyle w:val="Textbody"/>
        <w:widowControl/>
        <w:rPr>
          <w:b/>
          <w:color w:val="222222"/>
          <w:sz w:val="20"/>
        </w:rPr>
      </w:pPr>
      <w:r>
        <w:rPr>
          <w:b/>
          <w:color w:val="222222"/>
          <w:sz w:val="20"/>
        </w:rPr>
        <w:t>Szczegółowy wykaz pojazdów stanowi Załącznik nr 1</w:t>
      </w:r>
    </w:p>
    <w:p w:rsidR="001C17E9" w:rsidRDefault="001C17E9">
      <w:pPr>
        <w:pStyle w:val="Textbody"/>
        <w:widowControl/>
      </w:pPr>
    </w:p>
    <w:p w:rsidR="001C17E9" w:rsidRDefault="00795D15">
      <w:pPr>
        <w:pStyle w:val="Textbody"/>
        <w:widowControl/>
        <w:rPr>
          <w:b/>
          <w:color w:val="222222"/>
          <w:sz w:val="18"/>
        </w:rPr>
      </w:pPr>
      <w:r>
        <w:rPr>
          <w:b/>
          <w:color w:val="222222"/>
          <w:sz w:val="18"/>
        </w:rPr>
        <w:t xml:space="preserve">ZAŁOŻENIA DO WSZYSTKICH RODZAJÓW </w:t>
      </w:r>
      <w:r>
        <w:rPr>
          <w:b/>
          <w:color w:val="222222"/>
          <w:sz w:val="18"/>
        </w:rPr>
        <w:t>UBEZPIECZEŃ</w:t>
      </w:r>
    </w:p>
    <w:p w:rsidR="001C17E9" w:rsidRDefault="001C17E9">
      <w:pPr>
        <w:pStyle w:val="Textbody"/>
        <w:widowControl/>
        <w:jc w:val="both"/>
      </w:pPr>
    </w:p>
    <w:p w:rsidR="001C17E9" w:rsidRDefault="00795D15">
      <w:pPr>
        <w:pStyle w:val="Textbody"/>
        <w:widowControl/>
        <w:jc w:val="both"/>
        <w:rPr>
          <w:color w:val="222222"/>
          <w:sz w:val="18"/>
        </w:rPr>
      </w:pPr>
      <w:r>
        <w:rPr>
          <w:color w:val="222222"/>
          <w:sz w:val="18"/>
        </w:rPr>
        <w:t>Zakres opisany powyżej jest zakresem minimalnym.</w:t>
      </w:r>
    </w:p>
    <w:p w:rsidR="001C17E9" w:rsidRDefault="00795D15">
      <w:pPr>
        <w:pStyle w:val="Textbody"/>
        <w:widowControl/>
        <w:jc w:val="both"/>
        <w:rPr>
          <w:color w:val="222222"/>
          <w:sz w:val="18"/>
        </w:rPr>
      </w:pPr>
      <w:r>
        <w:rPr>
          <w:color w:val="222222"/>
          <w:sz w:val="18"/>
        </w:rPr>
        <w:t>W odniesieniu do kwestii nieuregulowanych w SIWZ mają zastosowanie stosowne zapisy ogólnych warunkach ubezpieczeń.</w:t>
      </w:r>
    </w:p>
    <w:p w:rsidR="001C17E9" w:rsidRDefault="00795D15">
      <w:pPr>
        <w:pStyle w:val="Textbody"/>
        <w:widowControl/>
        <w:jc w:val="both"/>
        <w:rPr>
          <w:color w:val="222222"/>
          <w:sz w:val="18"/>
        </w:rPr>
      </w:pPr>
      <w:r>
        <w:rPr>
          <w:color w:val="222222"/>
          <w:sz w:val="18"/>
        </w:rPr>
        <w:t xml:space="preserve">Jeżeli w ogólnych warunkach ubezpieczeń bądź klauzulach rozszerzających zakres </w:t>
      </w:r>
      <w:r>
        <w:rPr>
          <w:color w:val="222222"/>
          <w:sz w:val="18"/>
        </w:rPr>
        <w:t>znajdują się dodatkowe uregulowania, z których wynika, że zakres ubezpieczeń jest szerszy od proponowanego powyżej tj klauzule;</w:t>
      </w:r>
    </w:p>
    <w:p w:rsidR="001C17E9" w:rsidRDefault="00795D15">
      <w:pPr>
        <w:pStyle w:val="Textbody"/>
        <w:widowControl/>
        <w:rPr>
          <w:b/>
          <w:color w:val="222222"/>
          <w:sz w:val="16"/>
        </w:rPr>
      </w:pPr>
      <w:r>
        <w:rPr>
          <w:b/>
          <w:color w:val="222222"/>
          <w:sz w:val="16"/>
        </w:rPr>
        <w:t>OGLĘDZINY POJAZDÓW</w:t>
      </w:r>
    </w:p>
    <w:p w:rsidR="001C17E9" w:rsidRDefault="00795D15">
      <w:pPr>
        <w:pStyle w:val="Textbody"/>
        <w:widowControl/>
        <w:rPr>
          <w:b/>
          <w:color w:val="222222"/>
          <w:sz w:val="16"/>
        </w:rPr>
      </w:pPr>
      <w:r>
        <w:rPr>
          <w:b/>
          <w:color w:val="222222"/>
          <w:sz w:val="16"/>
        </w:rPr>
        <w:t>ZABEZPIECZENIA  PRZECIWKRADZIEŻOWE,</w:t>
      </w:r>
    </w:p>
    <w:p w:rsidR="001C17E9" w:rsidRDefault="00795D15">
      <w:pPr>
        <w:pStyle w:val="Textbody"/>
        <w:widowControl/>
        <w:rPr>
          <w:b/>
          <w:color w:val="222222"/>
          <w:sz w:val="16"/>
        </w:rPr>
      </w:pPr>
      <w:r>
        <w:rPr>
          <w:b/>
          <w:color w:val="222222"/>
          <w:sz w:val="16"/>
        </w:rPr>
        <w:t>TERMINOWE UPRAWNIENIA DO KIEROWANIA POJAZDEM,</w:t>
      </w:r>
    </w:p>
    <w:p w:rsidR="001C17E9" w:rsidRDefault="00795D15">
      <w:pPr>
        <w:pStyle w:val="Textbody"/>
        <w:widowControl/>
        <w:rPr>
          <w:b/>
          <w:color w:val="222222"/>
          <w:sz w:val="16"/>
        </w:rPr>
      </w:pPr>
      <w:r>
        <w:rPr>
          <w:b/>
          <w:color w:val="222222"/>
          <w:sz w:val="16"/>
        </w:rPr>
        <w:t>KLAUZULA BRAKU WAŻNEGO BADA</w:t>
      </w:r>
      <w:r>
        <w:rPr>
          <w:b/>
          <w:color w:val="222222"/>
          <w:sz w:val="16"/>
        </w:rPr>
        <w:t>NIA TECHNICZNEGO ,</w:t>
      </w:r>
    </w:p>
    <w:p w:rsidR="001C17E9" w:rsidRDefault="00795D15">
      <w:pPr>
        <w:pStyle w:val="Textbody"/>
        <w:widowControl/>
        <w:rPr>
          <w:b/>
          <w:color w:val="222222"/>
          <w:sz w:val="16"/>
        </w:rPr>
      </w:pPr>
      <w:r>
        <w:rPr>
          <w:b/>
          <w:color w:val="222222"/>
          <w:sz w:val="16"/>
        </w:rPr>
        <w:t>KLAUZULA POKRYCIA KOSZTÓW WYMIANY URZĄDZEŃ PO UTRACIE KLUCZYKÓW,</w:t>
      </w:r>
    </w:p>
    <w:p w:rsidR="001C17E9" w:rsidRDefault="00795D15">
      <w:pPr>
        <w:pStyle w:val="Textbody"/>
        <w:widowControl/>
        <w:rPr>
          <w:b/>
          <w:color w:val="222222"/>
          <w:sz w:val="16"/>
        </w:rPr>
      </w:pPr>
      <w:r>
        <w:rPr>
          <w:b/>
          <w:color w:val="222222"/>
          <w:sz w:val="16"/>
        </w:rPr>
        <w:t>KLAUZULA PRZEKROCZENIA PRĘDKOŚCI,</w:t>
      </w:r>
    </w:p>
    <w:p w:rsidR="001C17E9" w:rsidRDefault="00795D15">
      <w:pPr>
        <w:pStyle w:val="Textbody"/>
        <w:widowControl/>
        <w:jc w:val="both"/>
        <w:rPr>
          <w:color w:val="222222"/>
          <w:sz w:val="18"/>
        </w:rPr>
      </w:pPr>
      <w:r>
        <w:rPr>
          <w:color w:val="222222"/>
          <w:sz w:val="18"/>
        </w:rPr>
        <w:t>to automatycznie zostają włączone do ochrony ubezpieczeniowej Zamawiającego.</w:t>
      </w:r>
    </w:p>
    <w:p w:rsidR="001C17E9" w:rsidRPr="00AA2363" w:rsidRDefault="00795D15" w:rsidP="00AA2363">
      <w:pPr>
        <w:pStyle w:val="Textbody"/>
        <w:widowControl/>
        <w:jc w:val="both"/>
        <w:rPr>
          <w:color w:val="222222"/>
          <w:sz w:val="18"/>
        </w:rPr>
      </w:pPr>
      <w:r>
        <w:rPr>
          <w:color w:val="222222"/>
          <w:sz w:val="18"/>
        </w:rPr>
        <w:t xml:space="preserve">Zapisy w ogólnych warunkach ubezpieczenia, z których wynika, </w:t>
      </w:r>
      <w:r>
        <w:rPr>
          <w:color w:val="222222"/>
          <w:sz w:val="18"/>
        </w:rPr>
        <w:t>iż zakres ubezpieczenia jest węższy niż zakres opisany powyżej, nie mają zastosowania.</w:t>
      </w:r>
      <w:bookmarkStart w:id="0" w:name="_GoBack"/>
      <w:bookmarkEnd w:id="0"/>
    </w:p>
    <w:sectPr w:rsidR="001C17E9" w:rsidRPr="00AA236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D15" w:rsidRDefault="00795D15">
      <w:r>
        <w:separator/>
      </w:r>
    </w:p>
  </w:endnote>
  <w:endnote w:type="continuationSeparator" w:id="0">
    <w:p w:rsidR="00795D15" w:rsidRDefault="0079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D15" w:rsidRDefault="00795D15">
      <w:r>
        <w:rPr>
          <w:color w:val="000000"/>
        </w:rPr>
        <w:separator/>
      </w:r>
    </w:p>
  </w:footnote>
  <w:footnote w:type="continuationSeparator" w:id="0">
    <w:p w:rsidR="00795D15" w:rsidRDefault="00795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63AE"/>
    <w:multiLevelType w:val="multilevel"/>
    <w:tmpl w:val="8D16F7C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C17E9"/>
    <w:rsid w:val="001C17E9"/>
    <w:rsid w:val="00795D15"/>
    <w:rsid w:val="00AA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E0F0B-9A11-428D-939D-AA64C0FF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 P</dc:creator>
  <cp:lastModifiedBy>sekretariat</cp:lastModifiedBy>
  <cp:revision>2</cp:revision>
  <dcterms:created xsi:type="dcterms:W3CDTF">2020-10-29T07:12:00Z</dcterms:created>
  <dcterms:modified xsi:type="dcterms:W3CDTF">2020-10-29T07:12:00Z</dcterms:modified>
</cp:coreProperties>
</file>